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Pr="008319F5" w:rsidRDefault="00CD0934" w:rsidP="00CD0934">
      <w:pPr>
        <w:tabs>
          <w:tab w:val="left" w:pos="216"/>
        </w:tabs>
        <w:spacing w:after="101" w:line="216" w:lineRule="exact"/>
        <w:ind w:left="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V. </w:t>
      </w:r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Instituto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locales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Federativas</w:t>
      </w:r>
    </w:p>
    <w:tbl>
      <w:tblPr>
        <w:tblW w:w="1013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848"/>
        <w:gridCol w:w="2054"/>
        <w:gridCol w:w="2694"/>
        <w:gridCol w:w="1842"/>
      </w:tblGrid>
      <w:tr w:rsidR="004D5B7A" w:rsidRPr="00CD0934" w:rsidTr="00CD0934">
        <w:trPr>
          <w:trHeight w:val="20"/>
          <w:tblHeader/>
        </w:trPr>
        <w:tc>
          <w:tcPr>
            <w:tcW w:w="1694" w:type="dxa"/>
            <w:shd w:val="clear" w:color="auto" w:fill="BFBFBF"/>
            <w:noWrap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sz w:val="16"/>
                <w:szCs w:val="16"/>
              </w:rPr>
              <w:t>Artículo</w:t>
            </w:r>
          </w:p>
        </w:tc>
        <w:tc>
          <w:tcPr>
            <w:tcW w:w="1848" w:type="dxa"/>
            <w:shd w:val="clear" w:color="auto" w:fill="BFBFBF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sz w:val="16"/>
                <w:szCs w:val="16"/>
              </w:rPr>
              <w:t>Fracción/inciso</w:t>
            </w:r>
          </w:p>
        </w:tc>
        <w:tc>
          <w:tcPr>
            <w:tcW w:w="2054" w:type="dxa"/>
            <w:shd w:val="clear" w:color="auto" w:fill="BFBFBF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sz w:val="16"/>
                <w:szCs w:val="16"/>
              </w:rPr>
              <w:t>Periodo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actualización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acerca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publicar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sz w:val="16"/>
                <w:szCs w:val="16"/>
              </w:rPr>
              <w:t>Periodo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Conservación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</w:p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Además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señalado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70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presente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Ley,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órganos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autónomos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deberán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poner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disposición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público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actualizar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siguiente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información: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a)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listados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políticos,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asociaciones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agrupaciones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políticas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ciudadanos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registrados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ante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autoridad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electoral;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cuando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un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partido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político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nacional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local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obtenga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su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registro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por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INE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OPLE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respectivo,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deberá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publicarse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y/o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actualizarse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un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plazo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no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mayor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15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días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hábiles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cuando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actualicen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datos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contacto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b)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informes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presenten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políticos,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asociaciones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agrupaciones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políticas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ciudadanos;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c)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geografía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cartografía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electoral;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creada,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modificada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actualizada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deberá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publicarse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un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plazo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no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mayor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15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días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hábiles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d)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registro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candidatos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cargos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elección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popular;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Trianual,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Sexenal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acuerdo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cada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federal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y/o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local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corresponda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por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menos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anterior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e)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catálogo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estaciones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radio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canales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televisión,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pautas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transmisión,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versiones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spots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institutos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electorales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políticos;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por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menos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anterior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f)</w:t>
            </w:r>
            <w:r w:rsidR="00B6543F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montos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financiamiento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público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por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actividades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ordinarias,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campaña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específicas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otorgadas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políticos,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asociaciones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agrupaciones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políticas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ciudadanos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demás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asociaciones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políticas,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así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como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montos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autorizados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financiamiento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privado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topes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gastos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campañas;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Mensual,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anual,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trianual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sexenal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Mensual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respecto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ministraciones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mensuales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entregadas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cada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partido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político.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Anual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para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monto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total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financiamiento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público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otorgado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partidos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políticos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para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sostenimiento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sus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actividades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ordinarias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permanentes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para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actividades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específicas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como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entidades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interés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público.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Trianual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sexenal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para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gastos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campaña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partidos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políticos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candidatos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independientes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año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elección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anteriores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financiamiento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ordinario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últimos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periodos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electorales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g)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metodología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informes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sobre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publicación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encuestas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por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muestreo,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encuestas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salida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conteos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rápidos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financiados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por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autoridades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electorales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competentes;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Cuando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cree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modifique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deberá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publicarse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un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plazo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no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mayor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15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días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hábiles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por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menos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periodos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pasados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h)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metodología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informe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Resultados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Preliminares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lastRenderedPageBreak/>
              <w:t>Electorales;</w:t>
            </w:r>
            <w:bookmarkStart w:id="0" w:name="_GoBack"/>
            <w:bookmarkEnd w:id="0"/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lastRenderedPageBreak/>
              <w:t>Trianual,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sexenal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acuerdo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cada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federal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y/o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local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corresponda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último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realizado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i)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cómputos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totales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elecciones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procesos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participación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ciudadana;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Trianual,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sexenal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acuerdo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cada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federal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y/o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local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corresponda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correspondiente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último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j)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resultados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declaraciones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validez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elecciones;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Cuando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cada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elección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ordinaria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carácter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extraordinaria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lleven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cabo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cómputos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distritales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(variable)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debe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publicarse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tiempo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real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cuanto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vayan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capturando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sistema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cómputo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respectivo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bajo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lineamientos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para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tal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efecto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establezca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INE,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datos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asentados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Actas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Escrutinio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Cómputo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casilla,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bien,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levantadas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consejo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distrital,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las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deriven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grupos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trabajo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respectivos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para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eventual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recuento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votos,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su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actualización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corresponderá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fluidez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sigan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registrando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datos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sistema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hasta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determine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concluir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su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publicación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k)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franquicias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postales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telegráficas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asignadas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al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partido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político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para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cumplimiento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sus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funciones;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l)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información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sobre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votos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mexicanos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residentes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extranjero;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Trianual,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sexenal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acuerdo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cada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federal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y/o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local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corresponda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m)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dictámenes,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informes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resoluciones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sobre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pérdida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registro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liquidación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patrimonio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partidos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políticos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nacionales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locales,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y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o---o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por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menos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anterior</w:t>
            </w:r>
          </w:p>
        </w:tc>
      </w:tr>
      <w:tr w:rsidR="004D5B7A" w:rsidRPr="00CD0934" w:rsidTr="00CD0934">
        <w:trPr>
          <w:trHeight w:val="20"/>
        </w:trPr>
        <w:tc>
          <w:tcPr>
            <w:tcW w:w="1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848" w:type="dxa"/>
            <w:vAlign w:val="center"/>
          </w:tcPr>
          <w:p w:rsidR="00B120D5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F06E9" w:rsidRPr="00CD093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…</w:t>
            </w:r>
          </w:p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0934">
              <w:rPr>
                <w:rFonts w:ascii="Arial" w:hAnsi="Arial" w:cs="Arial"/>
                <w:i/>
                <w:sz w:val="16"/>
                <w:szCs w:val="16"/>
              </w:rPr>
              <w:t>n)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monitoreo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i/>
                <w:sz w:val="16"/>
                <w:szCs w:val="16"/>
              </w:rPr>
              <w:t>medios;</w:t>
            </w:r>
          </w:p>
        </w:tc>
        <w:tc>
          <w:tcPr>
            <w:tcW w:w="205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Trianual,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sexenal</w:t>
            </w:r>
          </w:p>
        </w:tc>
        <w:tc>
          <w:tcPr>
            <w:tcW w:w="2694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acuerdo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con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cada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federal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y/o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local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que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corresponda</w:t>
            </w:r>
          </w:p>
        </w:tc>
        <w:tc>
          <w:tcPr>
            <w:tcW w:w="1842" w:type="dxa"/>
            <w:vAlign w:val="center"/>
          </w:tcPr>
          <w:p w:rsidR="004D5B7A" w:rsidRPr="00CD0934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4">
              <w:rPr>
                <w:rFonts w:ascii="Arial" w:hAnsi="Arial" w:cs="Arial"/>
                <w:sz w:val="16"/>
                <w:szCs w:val="16"/>
              </w:rPr>
              <w:t>Vigente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de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por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lo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menos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proceso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electoral</w:t>
            </w:r>
            <w:r w:rsidR="00FF06E9" w:rsidRPr="00CD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934">
              <w:rPr>
                <w:rFonts w:ascii="Arial" w:hAnsi="Arial" w:cs="Arial"/>
                <w:sz w:val="16"/>
                <w:szCs w:val="16"/>
              </w:rPr>
              <w:t>anterior</w:t>
            </w:r>
          </w:p>
        </w:tc>
      </w:tr>
    </w:tbl>
    <w:p w:rsidR="002C62CE" w:rsidRDefault="002C62CE" w:rsidP="001A69C6">
      <w:pPr>
        <w:pStyle w:val="texto0"/>
        <w:ind w:firstLine="0"/>
        <w:rPr>
          <w:b/>
          <w:sz w:val="14"/>
          <w:szCs w:val="14"/>
        </w:rPr>
      </w:pPr>
    </w:p>
    <w:sectPr w:rsidR="002C62CE" w:rsidSect="00CD0934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48" w:rsidRDefault="008E2548">
      <w:r>
        <w:separator/>
      </w:r>
    </w:p>
  </w:endnote>
  <w:endnote w:type="continuationSeparator" w:id="0">
    <w:p w:rsidR="008E2548" w:rsidRDefault="008E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48" w:rsidRDefault="008E2548">
      <w:r>
        <w:separator/>
      </w:r>
    </w:p>
  </w:footnote>
  <w:footnote w:type="continuationSeparator" w:id="0">
    <w:p w:rsidR="008E2548" w:rsidRDefault="008E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7407E"/>
    <w:rsid w:val="00076F0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A69C6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5CFC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67AFB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5CF0"/>
    <w:rsid w:val="006777B9"/>
    <w:rsid w:val="00681BC5"/>
    <w:rsid w:val="00686752"/>
    <w:rsid w:val="00691836"/>
    <w:rsid w:val="0069357B"/>
    <w:rsid w:val="00697B7C"/>
    <w:rsid w:val="006B7539"/>
    <w:rsid w:val="006C30AE"/>
    <w:rsid w:val="006D18AB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548"/>
    <w:rsid w:val="008E293D"/>
    <w:rsid w:val="008E35DF"/>
    <w:rsid w:val="008F5142"/>
    <w:rsid w:val="008F7A18"/>
    <w:rsid w:val="008F7EDA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0934"/>
    <w:rsid w:val="00CD6850"/>
    <w:rsid w:val="00CE06BF"/>
    <w:rsid w:val="00CE17EF"/>
    <w:rsid w:val="00CF33A0"/>
    <w:rsid w:val="00CF3B2E"/>
    <w:rsid w:val="00CF6193"/>
    <w:rsid w:val="00CF701C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DF398E-CB0E-4E63-99AD-35CFC129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15AD-EADC-4B4C-82D8-CF7DC635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5126</CharactersWithSpaces>
  <SharedDoc>false</SharedDoc>
  <HLinks>
    <vt:vector size="12" baseType="variant"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http://www.ine.mx/archivos2/Alterna/2015/PREP/CentroDeAyuda/rsc/pdf/Lineamientos_PREP.pdf</vt:lpwstr>
      </vt:variant>
      <vt:variant>
        <vt:lpwstr/>
      </vt:variant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http://dof.gob.mx/nota_detalle.php?codigo=5345955&amp;fecha=23/05/2014&amp;print=true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2016-05-03T19:33:00Z</cp:lastPrinted>
  <dcterms:created xsi:type="dcterms:W3CDTF">2016-09-21T23:50:00Z</dcterms:created>
  <dcterms:modified xsi:type="dcterms:W3CDTF">2016-09-22T13:29:00Z</dcterms:modified>
</cp:coreProperties>
</file>